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w:t>
      </w:r>
    </w:p>
    <w:p>
      <w:r>
        <w:t>Bundesgericht (BGE), 1985-02-06, DE</w:t>
      </w:r>
    </w:p>
    <w:p>
      <w:r>
        <w:rPr>
          <w:b/>
        </w:rPr>
        <w:t xml:space="preserve">Quelle: </w:t>
      </w:r>
      <w:r>
        <w:t>https://mcp.opencaselaw.ch/entscheid/bge_111 IV 1</w:t>
      </w:r>
    </w:p>
    <w:p>
      <w:r>
        <w:t>FR: ATF 111 IV 1</w:t>
      </w:r>
    </w:p>
    <w:p>
      <w:r>
        <w:t>IT: DTF 111 IV 1</w:t>
      </w:r>
    </w:p>
    <w:p>
      <w:pPr>
        <w:pStyle w:val="Heading2"/>
      </w:pPr>
      <w:r>
        <w:t>Regeste</w:t>
      </w:r>
    </w:p>
    <w:p>
      <w:r>
        <w:t>Regeste Art. 3 StGB; Territorialprinzip und Anrechnung. 1. Die Schweiz beansprucht gemäss Art. 3 Ziff. 1 Abs. 1 StGB auch dann die Gerichtsbarkeit, wenn bei einer einheitlichen Tathandlung nur ein Teil in der Schweiz begangen wurde und ein ausländischer Staat sich wegen des auf seinem Gebiet begangenen Tatanteils ebenfalls als zur Strafverfolgung zuständig erachtet (E. 2a). 2. Die Anerkennung eines ausländischen Urteils als definitive Erledigung ergibt sich aus Art. 3 Ziff. 2 StGB für den Fall, dass ein Ausländer (wegen der in der Schweiz begangenen Tat) auf Ersuchen der schweizerischen Behörde im Ausland verfolgt worden ist (E. 2b). 3. Grundsätze für die Anrechnung einer im Ausland verhängten Geldstrafe auf eine in der Schweiz auszusprechende Freiheitsstrafe (Art. 3 Ziff. 1 Abs. 2 StGB; E. 3).</w:t>
      </w:r>
    </w:p>
    <w:p>
      <w:pPr>
        <w:pStyle w:val="Heading2"/>
      </w:pPr>
      <w:r>
        <w:t>Erwägungen</w:t>
      </w:r>
    </w:p>
    <w:p>
      <w:r>
        <w:rPr>
          <w:b/>
        </w:rPr>
        <w:t>E. 1</w:t>
      </w:r>
    </w:p>
    <w:p>
      <w:r>
        <w:t>In der Nichtigkeitsbeschwerde wird geltend gemacht, der Beschwerdeführer sei auf Ersuchen der Basler Behörden wegen des Vorfalles vom 8. Oktober 1983 in Lörrach verfolgt und mit Strafbefehl des Amtsgerichtes vom 22. November 1983 zu einer Geldstrafe von 55 Tagessätzen zu je DM 20.--, insgesamt DM 700.--, verurteilt worden. Diese Geldstrafe werde aus der in der Schweiz geleisteten Kaution von Fr. 1100.-- gedeckt und sei somit als verbüsste Strafe zu behandeln. Die Fahrt von Lörrach bis zum Grenzposten sei eine einheitliche Tat, die rechtskräftige Verurteilung durch das Amtsgericht Lörrach beziehe sich nicht nur auf das BGE 111 IV 1 S. 3 Fahren auf deutschem Gebiet, sondern auch auf das Fahren auf schweizerischem Gebiet. Nach dem Grundsatz "ne bis in idem" könne der Beschwerdeführer wegen dieser Angelegenheit in der Schweiz nicht mehr bestraft werden.</w:t>
      </w:r>
    </w:p>
    <w:p>
      <w:r>
        <w:rPr>
          <w:b/>
        </w:rPr>
        <w:t>E. 2</w:t>
      </w:r>
    </w:p>
    <w:p>
      <w:r>
        <w:t>a) In tatsächlicher Hinsicht steht fest, dass der Beschwerdeführer nicht nur auf deutschem Gebiet, sondern auch auf schweizerischem Territorium seinen Personenwagen in angetrunkenem Zustand gelenkt hat. Ist aber ein Verbrechen oder Vergehen in der Schweiz verübt worden, so beansprucht die Schweiz gemäss Art. 3 Ziff. 1 StGB grundsätzlich die Gerichtsbarkeit (vgl. BGE 108 IV 146 ). Dies gilt auch, wenn bei einer einheitlichen Tathandlung nur ein Teil in der Schweiz begangen wurde und ein ausländischer Staat sich wegen des auf seinem Gebiet begangenen Tatanteils ebenfalls nach Territorialitätsprinzip als zur Strafverfolgung zuständig erachtet. Ein ausländisches Strafurteil, das in der gleichen Sache bereits ergangen ist, hindert in solchen Fällen eine Bestrafung in der Schweiz nicht von vornherein. Eine im Ausland wegen der gleichen Sache bereits verbüsste Strafe ist gemäss Art. 3 Ziff. 1 Abs. 2 StGB vom schweizerischen Richter auf die hier auszufällende Sanktion anzurechnen. Dass in der zu beurteilenden Angelegenheit die in Lörrach verhängte Geldstrafe gemäss dieser Bestimmung berücksichtigt werden soll, ist unbestritten. b) Eine eigentliche Anerkennung des ausländischen Urteils als definitive Erledigung ergibt sich aus Art. 3 Ziff. 2 StGB für den Fall, dass ein Ausländer (wegen der in der Schweiz begangenen Tat) auf Ersuchen der schweizerischen Behörde im Ausland verfolgt worden ist. In der Beschwerdeschrift wird geltend gemacht, der Beschwerdeführer sei auf Ersuchen der Basler Behörden in Lörrach verfolgt worden. Wie bereits der Polizeigerichtspräsident in seinem Urteil feststellte, kann von einem Übernahmebegehren an die deutschen Behörden nicht die Rede sein. Am 17. Oktober 1983 hat die Verkehrsabteilung Basel-Stadt die Zweigstelle Lörrach der Staatsanwaltschaft Freiburg i/Br. über das gegen den Beschwerdeführer in Basel eingeleitete Ermittlungsverfahren orientiert. In diesem Brief wird mitgeteilt, dass der Fall dem Polizeigerichtspräsidenten überwiesen werde. Die Meldung sollte offensichtlich den deutschen Behörden ermöglichen, gegenüber dem in Deutschland wohnhaften fehlbaren Motorfahrzeugführer die naheliegende Sanktion eines Ausweisentzuges für das deutsche Gebiet zu prüfen. Ein Ersuchen BGE 111 IV 1 S. 4 um Übernahme der Strafverfolgung im Sinne von Art. 3 Ziff. 2 StGB lässt sich dem Schreiben der Verkehrsabteilung nicht entnehmen. Dass die Strafverfolgung in der Schweiz durchgeführt wird, ist eindeutig zum Ausdruck gebracht. Damit erweist sich die auf Art. 3 Ziff. 2 StGB gestützte Einwendung als unbegründet. c) Entgegen der Behauptung in der Beschwerdeschrift ging der Polizeigerichtspräsident in dem vom Appellationsgericht bestätigten Urteil nicht etwa von einer nach der Länge der gefahrenen Strecken zwischen Deutschland und der Schweiz aufgeteilten Strafkompetenz aus und begründete seine Zuständigkeit nicht damit, dass die Verfehlung, soweit sie auf schweizerischem Gebiet begangen worden sei, durch den Strafbefehl des Amtsgerichtes Lörrach gar nicht erfasst werde. Er stellte im Gegenteil fest, dass die ununterbrochene Fahrt in angetrunkenem Zustand von Lörrach bis zum Zollamt Grenzacherstrasse eine einheitliche Handlung bilde. Der angefochtene Entscheid beruht auf der Erwägung, dass diese einheitliche (über die Staatsgrenze sich erstreckende) Handlung von beiden betroffenen Staaten verfolgt werde und dass die zeitlich nachfolgende Beurteilung in der Schweiz unter Beachtung von Art. 3 Ziff. 1 Abs. 2 StGB vorzunehmen sei. Diese Argumentation ist zutreffend und verletzt das Bundesrecht nicht.</w:t>
      </w:r>
    </w:p>
    <w:p>
      <w:r>
        <w:rPr>
          <w:b/>
        </w:rPr>
        <w:t>E. 3</w:t>
      </w:r>
    </w:p>
    <w:p>
      <w:r>
        <w:t>Erscheint somit die Beurteilung gemäss Art. 3 Ziff. 1 Abs. 2 StGB als richtig, so bleibt zu prüfen, ob die Strafzumessung unter Anrechnung der Geldstrafe von DM 700.-- gesetzeskonform erfolgte. a) Der Polizeigerichtspräsident ging davon aus, dass die übliche Strafe bei einer Fahrt in einem mittleren Rauschzustand (Blutalkoholgehalt von mindestens 1,93%o) 20 Tage Gefängnis betrage. Gegen diesen Ansatzpunkt der Strafzumessung wird nichts eingewendet. Die kaum begründete, eventualiter beigefügte Rüge geht sinngemäss einfach dahin, die vom Amtsgericht Lörrach verhängte Geldstrafe von DM 700.-- sei der nach schweizerischem Recht angemessenen Bestrafung äquivalent und die Ausfällung einer Reststrafe von 10 Tagen Gefängnis daher nicht gerechtfertigt. b) Im Urteil des Polizeigerichtspräsidenten wird das Problem der Anrechnung einer Geldstrafe auf eine Freiheitsstrafe in überzeugender Weise erörtert: Weder eine schematische Anrechnung der Geldstrafe in analoger Anwendung von Art. 49 Ziff. 3 Abs. 3 StGB (Fr. 30.-- = 1 Tag), noch das Abstellen auf die nach BGE 111 IV 1 S. 5 deutschem Recht bestimmten Tagessätze (i.c. 35 Tagessätze à DM 20.--) erscheint für den hier notwendigen Anrechnungsentscheid als wirklich angemessen und befriedigend. Der Richter muss im konkreten Fall nach eigenem Ermessen darüber befinden, ob die ausländische Geldstrafe der nach schweizerischem Recht verwirkten Freiheitsstrafe gleichzusetzen ist oder nicht. Erscheint ein gänzlicher Verzicht auf die Freiheitsstrafe nicht als gerechtfertigt, so muss bestimmt werden, in welchem Mass wegen der ausländischen Geldstrafe eine Herabsetzung der Freiheitsstrafe nach billigem Ermessen angezeigt ist und welche Restfreiheitsstrafe folglich in der Schweiz noch ausgefällt werden soll. Diese "Anrechnung" ohne schematische Richtlinie räumt dem Richter im Einzelfall ein grosses Ermessen ein; doch dürfte auf diesem Wege - unter Vermeidung einer unbilligen Doppelbestrafung - am ehesten gewährleistet sein, dass die Bestrafung in der Schweiz im Ergebnis etwa so ausfällt wie bei vergleichbaren, rein inländischen Sachverhalten. Im vorliegenden Fall wurde vom Polizeigerichtspräsidenten hervorgehoben, dass bei diesem Grad der Angetrunkenheit und unter Berücksichtigung früherer Verurteilungen wegen gleichartiger Verfehlungen in der Schweiz regelmässig Freiheitsstrafen ausgesprochen werden. Indem die nach der Schwere der Verfehlung angemessene Strafe von 20 Tagen Gefängnis in "Anrechnung" der Busse von DM 700.-- auf 10 Tage Gefängnis herabgesetzt wurde, haben die kantonalen Gerichte im Rahmen des ihnen zustehenden Ermessens einen vertretbaren Entscheid gefällt und die Vorschrift von Art. 3 Ziff. 1 Abs. 2 StGB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